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B3EE" w14:textId="77777777" w:rsidR="00637414" w:rsidRPr="0028554E" w:rsidRDefault="00637414" w:rsidP="00637414">
      <w:pPr>
        <w:rPr>
          <w:rFonts w:ascii="Arial" w:hAnsi="Arial" w:cs="Arial"/>
          <w:b/>
          <w:bCs/>
        </w:rPr>
      </w:pPr>
      <w:r w:rsidRPr="0028554E">
        <w:rPr>
          <w:rFonts w:ascii="Arial" w:hAnsi="Arial" w:cs="Arial"/>
          <w:b/>
          <w:bCs/>
        </w:rPr>
        <w:t>Summary of Contact’s key recommendations on the SEND White Paper</w:t>
      </w:r>
    </w:p>
    <w:p w14:paraId="3FD67BF1" w14:textId="77777777" w:rsidR="00637414" w:rsidRPr="0028554E" w:rsidRDefault="00637414" w:rsidP="00637414">
      <w:pPr>
        <w:rPr>
          <w:rFonts w:ascii="Arial" w:hAnsi="Arial" w:cs="Arial"/>
        </w:rPr>
      </w:pPr>
      <w:r w:rsidRPr="0028554E">
        <w:rPr>
          <w:rFonts w:ascii="Arial" w:hAnsi="Arial" w:cs="Arial"/>
        </w:rPr>
        <w:t>Contact welcomes the government’s ambition to improve inclusion and early intervention for children and young people with SEND</w:t>
      </w:r>
      <w:r>
        <w:rPr>
          <w:rFonts w:ascii="Arial" w:hAnsi="Arial" w:cs="Arial"/>
        </w:rPr>
        <w:t xml:space="preserve"> in England</w:t>
      </w:r>
      <w:r w:rsidRPr="0028554E">
        <w:rPr>
          <w:rFonts w:ascii="Arial" w:hAnsi="Arial" w:cs="Arial"/>
        </w:rPr>
        <w:t>. However, our response makes clear that reforms will only succeed if they strengthen accountability, enforceable rights and confidence in the system.</w:t>
      </w:r>
    </w:p>
    <w:p w14:paraId="225D9529" w14:textId="77777777" w:rsidR="00637414" w:rsidRPr="0028554E" w:rsidRDefault="00637414" w:rsidP="00637414">
      <w:pPr>
        <w:rPr>
          <w:rFonts w:ascii="Arial" w:hAnsi="Arial" w:cs="Arial"/>
        </w:rPr>
      </w:pPr>
      <w:r w:rsidRPr="0028554E">
        <w:rPr>
          <w:rFonts w:ascii="Arial" w:hAnsi="Arial" w:cs="Arial"/>
        </w:rPr>
        <w:t>Based on evidence from parent carer focus groups, Contact’s helpline, family support services and research, our key recommendations are:</w:t>
      </w:r>
    </w:p>
    <w:p w14:paraId="7B2FF9BE" w14:textId="77777777" w:rsidR="00637414" w:rsidRPr="0028554E" w:rsidRDefault="00637414" w:rsidP="00637414">
      <w:pPr>
        <w:rPr>
          <w:rFonts w:ascii="Arial" w:hAnsi="Arial" w:cs="Arial"/>
          <w:b/>
          <w:bCs/>
        </w:rPr>
      </w:pPr>
      <w:r w:rsidRPr="0028554E">
        <w:rPr>
          <w:rFonts w:ascii="Arial" w:hAnsi="Arial" w:cs="Arial"/>
          <w:b/>
          <w:bCs/>
        </w:rPr>
        <w:t>Stronger accountability and enforceable rights</w:t>
      </w:r>
    </w:p>
    <w:p w14:paraId="7A8CE289" w14:textId="77777777" w:rsidR="00637414" w:rsidRPr="0028554E" w:rsidRDefault="00637414" w:rsidP="00637414">
      <w:pPr>
        <w:numPr>
          <w:ilvl w:val="0"/>
          <w:numId w:val="1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Introduce a statutory duty to secure and deliver provision contained within Individual Support Plans (ISPs).</w:t>
      </w:r>
    </w:p>
    <w:p w14:paraId="09DB8CFF" w14:textId="77777777" w:rsidR="00637414" w:rsidRPr="0028554E" w:rsidRDefault="00637414" w:rsidP="00637414">
      <w:pPr>
        <w:numPr>
          <w:ilvl w:val="0"/>
          <w:numId w:val="1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Retain and strengthen SEND Tribunal powers</w:t>
      </w:r>
      <w:r>
        <w:rPr>
          <w:rFonts w:ascii="Arial" w:hAnsi="Arial" w:cs="Arial"/>
        </w:rPr>
        <w:t xml:space="preserve"> and e</w:t>
      </w:r>
      <w:r w:rsidRPr="0028554E">
        <w:rPr>
          <w:rFonts w:ascii="Arial" w:hAnsi="Arial" w:cs="Arial"/>
        </w:rPr>
        <w:t>nsure annual EHCP reviews remain in place.</w:t>
      </w:r>
    </w:p>
    <w:p w14:paraId="46BCC36A" w14:textId="77777777" w:rsidR="00637414" w:rsidRPr="0028554E" w:rsidRDefault="00637414" w:rsidP="00637414">
      <w:pPr>
        <w:numPr>
          <w:ilvl w:val="0"/>
          <w:numId w:val="1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Create clear, independent and accessible routes of redress where support is not delivered.</w:t>
      </w:r>
    </w:p>
    <w:p w14:paraId="52A19CDD" w14:textId="77777777" w:rsidR="00637414" w:rsidRPr="0028554E" w:rsidRDefault="00637414" w:rsidP="00637414">
      <w:pPr>
        <w:numPr>
          <w:ilvl w:val="0"/>
          <w:numId w:val="1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Strengthen health and social care accountability alongside education, including stronger joint commissioning duties.</w:t>
      </w:r>
    </w:p>
    <w:p w14:paraId="1D0B9E95" w14:textId="77777777" w:rsidR="00637414" w:rsidRPr="0028554E" w:rsidRDefault="00637414" w:rsidP="00637414">
      <w:pPr>
        <w:rPr>
          <w:rFonts w:ascii="Arial" w:hAnsi="Arial" w:cs="Arial"/>
          <w:b/>
          <w:bCs/>
        </w:rPr>
      </w:pPr>
      <w:r w:rsidRPr="0028554E">
        <w:rPr>
          <w:rFonts w:ascii="Arial" w:hAnsi="Arial" w:cs="Arial"/>
          <w:b/>
          <w:bCs/>
        </w:rPr>
        <w:t>Needs-led and multidisciplinary support</w:t>
      </w:r>
    </w:p>
    <w:p w14:paraId="61CF7ADD" w14:textId="77777777" w:rsidR="00637414" w:rsidRPr="0028554E" w:rsidRDefault="00637414" w:rsidP="00637414">
      <w:pPr>
        <w:numPr>
          <w:ilvl w:val="0"/>
          <w:numId w:val="2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Ensure support remains needs-led, not resource-led.</w:t>
      </w:r>
    </w:p>
    <w:p w14:paraId="6FA96E16" w14:textId="77777777" w:rsidR="00637414" w:rsidRPr="0028554E" w:rsidRDefault="00637414" w:rsidP="00637414">
      <w:pPr>
        <w:numPr>
          <w:ilvl w:val="0"/>
          <w:numId w:val="2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Retain comprehensive multidisciplinary assessment involving education, health and care professionals.</w:t>
      </w:r>
    </w:p>
    <w:p w14:paraId="51F14138" w14:textId="77777777" w:rsidR="00637414" w:rsidRPr="0028554E" w:rsidRDefault="00637414" w:rsidP="00637414">
      <w:pPr>
        <w:numPr>
          <w:ilvl w:val="0"/>
          <w:numId w:val="2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Define “complex needs” through functional impact and cumulative need rather than diagnosis or incidence alone.</w:t>
      </w:r>
    </w:p>
    <w:p w14:paraId="2F5FEBAB" w14:textId="77777777" w:rsidR="00637414" w:rsidRPr="0028554E" w:rsidRDefault="00637414" w:rsidP="00637414">
      <w:pPr>
        <w:numPr>
          <w:ilvl w:val="0"/>
          <w:numId w:val="2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Ensure children can continue to access EHCP assessments whenever concerns arise.</w:t>
      </w:r>
    </w:p>
    <w:p w14:paraId="0DE0CF4C" w14:textId="77777777" w:rsidR="00637414" w:rsidRPr="0028554E" w:rsidRDefault="00637414" w:rsidP="00637414">
      <w:pPr>
        <w:rPr>
          <w:rFonts w:ascii="Arial" w:hAnsi="Arial" w:cs="Arial"/>
          <w:b/>
          <w:bCs/>
        </w:rPr>
      </w:pPr>
      <w:r w:rsidRPr="0028554E">
        <w:rPr>
          <w:rFonts w:ascii="Arial" w:hAnsi="Arial" w:cs="Arial"/>
          <w:b/>
          <w:bCs/>
        </w:rPr>
        <w:t>Inclusive mainstream education alongside specialist provision</w:t>
      </w:r>
    </w:p>
    <w:p w14:paraId="047D57BA" w14:textId="77777777" w:rsidR="00637414" w:rsidRPr="0028554E" w:rsidRDefault="00637414" w:rsidP="00637414">
      <w:pPr>
        <w:numPr>
          <w:ilvl w:val="0"/>
          <w:numId w:val="3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Publish statutory National Inclusion Standards with clear accountability through Ofsted and Area SEND inspections.</w:t>
      </w:r>
    </w:p>
    <w:p w14:paraId="579B2820" w14:textId="77777777" w:rsidR="00637414" w:rsidRPr="0028554E" w:rsidRDefault="00637414" w:rsidP="00637414">
      <w:pPr>
        <w:numPr>
          <w:ilvl w:val="0"/>
          <w:numId w:val="3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Strengthen inclusive practice in mainstream schools through improved training, reasonable adjustments, sensory-friendly environments and flexible attendance approaches.</w:t>
      </w:r>
    </w:p>
    <w:p w14:paraId="765F3E3F" w14:textId="77777777" w:rsidR="00637414" w:rsidRPr="0028554E" w:rsidRDefault="00637414" w:rsidP="00637414">
      <w:pPr>
        <w:numPr>
          <w:ilvl w:val="0"/>
          <w:numId w:val="3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Continue investment in specialist schools and specialist workforce capacity alongside inclusive mainstream provision.</w:t>
      </w:r>
    </w:p>
    <w:p w14:paraId="3EE3E2EF" w14:textId="77777777" w:rsidR="00637414" w:rsidRPr="0028554E" w:rsidRDefault="00637414" w:rsidP="00637414">
      <w:pPr>
        <w:numPr>
          <w:ilvl w:val="0"/>
          <w:numId w:val="3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Ensure Inclusion Bases are genuinely inclusive and do not become substitutes for specialist provision.</w:t>
      </w:r>
    </w:p>
    <w:p w14:paraId="4785C1F7" w14:textId="77777777" w:rsidR="00637414" w:rsidRPr="0028554E" w:rsidRDefault="00637414" w:rsidP="00637414">
      <w:pPr>
        <w:rPr>
          <w:rFonts w:ascii="Arial" w:hAnsi="Arial" w:cs="Arial"/>
          <w:b/>
          <w:bCs/>
        </w:rPr>
      </w:pPr>
      <w:r w:rsidRPr="0028554E">
        <w:rPr>
          <w:rFonts w:ascii="Arial" w:hAnsi="Arial" w:cs="Arial"/>
          <w:b/>
          <w:bCs/>
        </w:rPr>
        <w:lastRenderedPageBreak/>
        <w:t>Health, mental health and joined-up support</w:t>
      </w:r>
    </w:p>
    <w:p w14:paraId="716F0415" w14:textId="77777777" w:rsidR="00637414" w:rsidRPr="0028554E" w:rsidRDefault="00637414" w:rsidP="00637414">
      <w:pPr>
        <w:numPr>
          <w:ilvl w:val="0"/>
          <w:numId w:val="4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Embed mental health throughout the SEND framework, including National Inclusion Standards and support planning.</w:t>
      </w:r>
    </w:p>
    <w:p w14:paraId="4AFC9449" w14:textId="77777777" w:rsidR="00637414" w:rsidRPr="0028554E" w:rsidRDefault="00637414" w:rsidP="00637414">
      <w:pPr>
        <w:numPr>
          <w:ilvl w:val="0"/>
          <w:numId w:val="4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Improve coordination across education, health and care services.</w:t>
      </w:r>
    </w:p>
    <w:p w14:paraId="56D19BB2" w14:textId="77777777" w:rsidR="00637414" w:rsidRPr="0028554E" w:rsidRDefault="00637414" w:rsidP="00637414">
      <w:pPr>
        <w:numPr>
          <w:ilvl w:val="0"/>
          <w:numId w:val="4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Ensure children can access therapies, CAMHS and continuing care support without excessive delays.</w:t>
      </w:r>
    </w:p>
    <w:p w14:paraId="424EDA13" w14:textId="77777777" w:rsidR="00637414" w:rsidRPr="0028554E" w:rsidRDefault="00637414" w:rsidP="00637414">
      <w:pPr>
        <w:numPr>
          <w:ilvl w:val="0"/>
          <w:numId w:val="4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Develop a workforce plan addressing shortages across educational psychology, therapies, CAMHS and specialist services.</w:t>
      </w:r>
    </w:p>
    <w:p w14:paraId="6610DFA5" w14:textId="77777777" w:rsidR="00637414" w:rsidRPr="0028554E" w:rsidRDefault="00637414" w:rsidP="00637414">
      <w:pPr>
        <w:rPr>
          <w:rFonts w:ascii="Arial" w:hAnsi="Arial" w:cs="Arial"/>
          <w:b/>
          <w:bCs/>
        </w:rPr>
      </w:pPr>
      <w:r w:rsidRPr="0028554E">
        <w:rPr>
          <w:rFonts w:ascii="Arial" w:hAnsi="Arial" w:cs="Arial"/>
          <w:b/>
          <w:bCs/>
        </w:rPr>
        <w:t>Early intervention and post-16 support</w:t>
      </w:r>
    </w:p>
    <w:p w14:paraId="3060A77E" w14:textId="77777777" w:rsidR="00637414" w:rsidRPr="0028554E" w:rsidRDefault="00637414" w:rsidP="00637414">
      <w:pPr>
        <w:numPr>
          <w:ilvl w:val="0"/>
          <w:numId w:val="5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Improve early years inclusion funding and earlier access to specialist support.</w:t>
      </w:r>
    </w:p>
    <w:p w14:paraId="07064B7E" w14:textId="77777777" w:rsidR="00637414" w:rsidRPr="0028554E" w:rsidRDefault="00637414" w:rsidP="00637414">
      <w:pPr>
        <w:numPr>
          <w:ilvl w:val="0"/>
          <w:numId w:val="5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Ensure SEND reforms work effectively across post-16 education, training and employment pathways.</w:t>
      </w:r>
    </w:p>
    <w:p w14:paraId="178AD587" w14:textId="77777777" w:rsidR="00637414" w:rsidRPr="0028554E" w:rsidRDefault="00637414" w:rsidP="00637414">
      <w:pPr>
        <w:numPr>
          <w:ilvl w:val="0"/>
          <w:numId w:val="5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Introduce a statutory right to post-16 transport for eligible SEND students.</w:t>
      </w:r>
    </w:p>
    <w:p w14:paraId="442E4AB9" w14:textId="77777777" w:rsidR="00637414" w:rsidRPr="0028554E" w:rsidRDefault="00637414" w:rsidP="00637414">
      <w:pPr>
        <w:numPr>
          <w:ilvl w:val="0"/>
          <w:numId w:val="5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Protect disabled young people from welfare changes that risk limiting access to education.</w:t>
      </w:r>
    </w:p>
    <w:p w14:paraId="3EF57B44" w14:textId="77777777" w:rsidR="00637414" w:rsidRPr="0028554E" w:rsidRDefault="00637414" w:rsidP="00637414">
      <w:pPr>
        <w:rPr>
          <w:rFonts w:ascii="Arial" w:hAnsi="Arial" w:cs="Arial"/>
          <w:b/>
          <w:bCs/>
        </w:rPr>
      </w:pPr>
      <w:r w:rsidRPr="0028554E">
        <w:rPr>
          <w:rFonts w:ascii="Arial" w:hAnsi="Arial" w:cs="Arial"/>
          <w:b/>
          <w:bCs/>
        </w:rPr>
        <w:t>Equity and co-production</w:t>
      </w:r>
    </w:p>
    <w:p w14:paraId="6A86B44B" w14:textId="77777777" w:rsidR="00637414" w:rsidRPr="0028554E" w:rsidRDefault="00637414" w:rsidP="00637414">
      <w:pPr>
        <w:numPr>
          <w:ilvl w:val="0"/>
          <w:numId w:val="6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Embed co-production throughout the SEND system, ensuring parent carers and young people shape decisions.</w:t>
      </w:r>
    </w:p>
    <w:p w14:paraId="4CBFA438" w14:textId="77777777" w:rsidR="00637414" w:rsidRPr="0028554E" w:rsidRDefault="00637414" w:rsidP="00637414">
      <w:pPr>
        <w:numPr>
          <w:ilvl w:val="0"/>
          <w:numId w:val="6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Address inequalities experienced by racially minoritised families through anti-racist and culturally competent practice.</w:t>
      </w:r>
    </w:p>
    <w:p w14:paraId="6F0BE5A9" w14:textId="77777777" w:rsidR="00637414" w:rsidRPr="0028554E" w:rsidRDefault="00637414" w:rsidP="00637414">
      <w:pPr>
        <w:numPr>
          <w:ilvl w:val="0"/>
          <w:numId w:val="6"/>
        </w:numPr>
        <w:rPr>
          <w:rFonts w:ascii="Arial" w:hAnsi="Arial" w:cs="Arial"/>
        </w:rPr>
      </w:pPr>
      <w:r w:rsidRPr="0028554E">
        <w:rPr>
          <w:rFonts w:ascii="Arial" w:hAnsi="Arial" w:cs="Arial"/>
        </w:rPr>
        <w:t>Improve accountability for disparities in exclusions, attendance, identification and access to support.</w:t>
      </w:r>
    </w:p>
    <w:p w14:paraId="3676851F" w14:textId="77777777" w:rsidR="00637414" w:rsidRPr="0028554E" w:rsidRDefault="00637414" w:rsidP="00637414">
      <w:pPr>
        <w:rPr>
          <w:rFonts w:ascii="Arial" w:hAnsi="Arial" w:cs="Arial"/>
        </w:rPr>
      </w:pPr>
      <w:r w:rsidRPr="0028554E">
        <w:rPr>
          <w:rFonts w:ascii="Arial" w:hAnsi="Arial" w:cs="Arial"/>
        </w:rPr>
        <w:t>Contact’s response consistently argues that reforms should not reduce legal protections or routes of redress before inclusive provision, specialist capacity, workforce sufficiency and accountability mechanisms are securely in place.</w:t>
      </w:r>
    </w:p>
    <w:p w14:paraId="77A17ACF" w14:textId="77777777" w:rsidR="00637414" w:rsidRDefault="00637414"/>
    <w:sectPr w:rsidR="00637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760F"/>
    <w:multiLevelType w:val="multilevel"/>
    <w:tmpl w:val="D21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84A80"/>
    <w:multiLevelType w:val="multilevel"/>
    <w:tmpl w:val="90BA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D6DA8"/>
    <w:multiLevelType w:val="multilevel"/>
    <w:tmpl w:val="315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93AE4"/>
    <w:multiLevelType w:val="multilevel"/>
    <w:tmpl w:val="081C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027A7E"/>
    <w:multiLevelType w:val="multilevel"/>
    <w:tmpl w:val="08A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A02FE"/>
    <w:multiLevelType w:val="multilevel"/>
    <w:tmpl w:val="02E6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603679">
    <w:abstractNumId w:val="4"/>
  </w:num>
  <w:num w:numId="2" w16cid:durableId="1440562127">
    <w:abstractNumId w:val="1"/>
  </w:num>
  <w:num w:numId="3" w16cid:durableId="1548446654">
    <w:abstractNumId w:val="3"/>
  </w:num>
  <w:num w:numId="4" w16cid:durableId="1251112273">
    <w:abstractNumId w:val="2"/>
  </w:num>
  <w:num w:numId="5" w16cid:durableId="1257440519">
    <w:abstractNumId w:val="5"/>
  </w:num>
  <w:num w:numId="6" w16cid:durableId="12080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14"/>
    <w:rsid w:val="00637414"/>
    <w:rsid w:val="009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F02"/>
  <w15:chartTrackingRefBased/>
  <w15:docId w15:val="{2F74EFE8-8C67-4519-8B6E-C2F86B3A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414"/>
  </w:style>
  <w:style w:type="paragraph" w:styleId="Heading1">
    <w:name w:val="heading 1"/>
    <w:basedOn w:val="Normal"/>
    <w:next w:val="Normal"/>
    <w:link w:val="Heading1Char"/>
    <w:uiPriority w:val="9"/>
    <w:qFormat/>
    <w:rsid w:val="00637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933709B50204CA06D854E180845BC" ma:contentTypeVersion="19" ma:contentTypeDescription="Create a new document." ma:contentTypeScope="" ma:versionID="2bc4809a589fa807a5a444140d720a39">
  <xsd:schema xmlns:xsd="http://www.w3.org/2001/XMLSchema" xmlns:xs="http://www.w3.org/2001/XMLSchema" xmlns:p="http://schemas.microsoft.com/office/2006/metadata/properties" xmlns:ns1="http://schemas.microsoft.com/sharepoint/v3" xmlns:ns2="03173614-37d3-4826-b85a-543e3fcc8c7f" xmlns:ns3="4f0b5b7f-e3f1-449f-a34c-5c57674ac43a" targetNamespace="http://schemas.microsoft.com/office/2006/metadata/properties" ma:root="true" ma:fieldsID="65c9e61967ad81fecc781cd6974586db" ns1:_="" ns2:_="" ns3:_="">
    <xsd:import namespace="http://schemas.microsoft.com/sharepoint/v3"/>
    <xsd:import namespace="03173614-37d3-4826-b85a-543e3fcc8c7f"/>
    <xsd:import namespace="4f0b5b7f-e3f1-449f-a34c-5c57674ac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3614-37d3-4826-b85a-543e3fcc8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eafc9c-293e-4550-b778-43a1d4bf6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b5b7f-e3f1-449f-a34c-5c57674ac4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b8425f-323d-4f0a-ba60-fd7835923c3a}" ma:internalName="TaxCatchAll" ma:showField="CatchAllData" ma:web="4f0b5b7f-e3f1-449f-a34c-5c57674ac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f0b5b7f-e3f1-449f-a34c-5c57674ac43a" xsi:nil="true"/>
    <lcf76f155ced4ddcb4097134ff3c332f xmlns="03173614-37d3-4826-b85a-543e3fcc8c7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6B3DD6-827B-46FC-A8B1-1C944120FC5C}"/>
</file>

<file path=customXml/itemProps2.xml><?xml version="1.0" encoding="utf-8"?>
<ds:datastoreItem xmlns:ds="http://schemas.openxmlformats.org/officeDocument/2006/customXml" ds:itemID="{AEA3C9C7-2AF7-42C7-B8C8-A67FFD860EFC}"/>
</file>

<file path=customXml/itemProps3.xml><?xml version="1.0" encoding="utf-8"?>
<ds:datastoreItem xmlns:ds="http://schemas.openxmlformats.org/officeDocument/2006/customXml" ds:itemID="{5272A2E0-2404-4BEA-B252-CF71F46445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2895</Characters>
  <Application>Microsoft Office Word</Application>
  <DocSecurity>0</DocSecurity>
  <Lines>59</Lines>
  <Paragraphs>37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Summerson</dc:creator>
  <cp:keywords/>
  <dc:description/>
  <cp:lastModifiedBy>Una Summerson</cp:lastModifiedBy>
  <cp:revision>1</cp:revision>
  <dcterms:created xsi:type="dcterms:W3CDTF">2026-05-20T16:46:00Z</dcterms:created>
  <dcterms:modified xsi:type="dcterms:W3CDTF">2026-05-20T16:46:00Z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0x0101003D4933709B50204CA06D854E180845BC</vt:lpwstr>
  </property>
</Properties>
</file>